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E10F3C" w:rsidRDefault="00000000">
      <w:pPr>
        <w:pStyle w:val="Ceannteideal3"/>
      </w:pPr>
      <w:bookmarkStart w:id="0" w:name="_13r5e6we77fo" w:colFirst="0" w:colLast="0"/>
      <w:bookmarkEnd w:id="0"/>
      <w:r>
        <w:t>Introduction</w:t>
      </w:r>
    </w:p>
    <w:p w14:paraId="00000002" w14:textId="77777777" w:rsidR="00E10F3C" w:rsidRDefault="00E10F3C">
      <w:pPr>
        <w:rPr>
          <w:b/>
          <w:bCs/>
          <w:u w:val="single"/>
        </w:rPr>
      </w:pPr>
    </w:p>
    <w:p w14:paraId="00000003" w14:textId="77777777" w:rsidR="00E10F3C" w:rsidRDefault="00000000">
      <w:pPr>
        <w:spacing w:after="160" w:line="259" w:lineRule="auto"/>
        <w:ind w:right="-45"/>
        <w:jc w:val="both"/>
      </w:pPr>
      <w:r>
        <w:t>Not Here Not Anywhere is a nationwide, grassroots, volunteer group campaigning to end fossil fuel exploration and the development of new fossil fuel infrastructure in Ireland. We advocate for a just transition to publicly-owned renewable energy systems and a society-wide reduction in energy demand both here and around the world. We are a non-partisan group and are not affiliated with any political party.</w:t>
      </w:r>
    </w:p>
    <w:p w14:paraId="00000004" w14:textId="77777777" w:rsidR="00E10F3C" w:rsidRDefault="00000000">
      <w:pPr>
        <w:spacing w:after="160" w:line="259" w:lineRule="auto"/>
        <w:ind w:right="-45"/>
        <w:jc w:val="both"/>
      </w:pPr>
      <w:r>
        <w:t>Our main issues with the policy as proposed are:</w:t>
      </w:r>
    </w:p>
    <w:p w14:paraId="00000005" w14:textId="77777777" w:rsidR="00E10F3C" w:rsidRDefault="00000000">
      <w:pPr>
        <w:numPr>
          <w:ilvl w:val="0"/>
          <w:numId w:val="6"/>
        </w:numPr>
      </w:pPr>
      <w:r>
        <w:t xml:space="preserve">Risks to climate obligations and decarbonisation policy  </w:t>
      </w:r>
    </w:p>
    <w:p w14:paraId="00000006" w14:textId="77777777" w:rsidR="00E10F3C" w:rsidRDefault="00000000">
      <w:pPr>
        <w:numPr>
          <w:ilvl w:val="0"/>
          <w:numId w:val="6"/>
        </w:numPr>
      </w:pPr>
      <w:r>
        <w:t xml:space="preserve">Risks to energy affordability </w:t>
      </w:r>
    </w:p>
    <w:p w14:paraId="00000007" w14:textId="77777777" w:rsidR="00E10F3C" w:rsidRDefault="00000000">
      <w:pPr>
        <w:numPr>
          <w:ilvl w:val="0"/>
          <w:numId w:val="6"/>
        </w:numPr>
      </w:pPr>
      <w:r>
        <w:t xml:space="preserve">Risks to areas of high electricity constraint and hoarding of grid capacity </w:t>
      </w:r>
    </w:p>
    <w:p w14:paraId="00000008" w14:textId="77777777" w:rsidR="00E10F3C" w:rsidRDefault="00000000">
      <w:pPr>
        <w:numPr>
          <w:ilvl w:val="0"/>
          <w:numId w:val="6"/>
        </w:numPr>
      </w:pPr>
      <w:r>
        <w:t xml:space="preserve">Water stress and environmental impact </w:t>
      </w:r>
    </w:p>
    <w:p w14:paraId="00000009" w14:textId="77777777" w:rsidR="00E10F3C" w:rsidRDefault="00E10F3C">
      <w:pPr>
        <w:rPr>
          <w:b/>
          <w:bCs/>
          <w:u w:val="single"/>
        </w:rPr>
      </w:pPr>
    </w:p>
    <w:p w14:paraId="0000000A" w14:textId="77777777" w:rsidR="00E10F3C" w:rsidRDefault="00000000">
      <w:pPr>
        <w:numPr>
          <w:ilvl w:val="0"/>
          <w:numId w:val="4"/>
        </w:numPr>
        <w:rPr>
          <w:b/>
          <w:bCs/>
        </w:rPr>
      </w:pPr>
      <w:r>
        <w:rPr>
          <w:b/>
          <w:bCs/>
          <w:u w:val="single"/>
        </w:rPr>
        <w:t>Risks with policy in relation to climate targets and decarbonisation</w:t>
      </w:r>
    </w:p>
    <w:p w14:paraId="0000000B" w14:textId="77777777" w:rsidR="00E10F3C" w:rsidRDefault="00E10F3C">
      <w:pPr>
        <w:rPr>
          <w:b/>
          <w:bCs/>
          <w:u w:val="single"/>
        </w:rPr>
      </w:pPr>
    </w:p>
    <w:p w14:paraId="0000000C" w14:textId="77777777" w:rsidR="00E10F3C" w:rsidRDefault="00000000">
      <w:pPr>
        <w:numPr>
          <w:ilvl w:val="1"/>
          <w:numId w:val="4"/>
        </w:numPr>
        <w:rPr>
          <w:b/>
          <w:bCs/>
        </w:rPr>
      </w:pPr>
      <w:r>
        <w:rPr>
          <w:b/>
          <w:bCs/>
        </w:rPr>
        <w:t>Carbon budgets, compliance with climate objectives and fossil fuel lock-in</w:t>
      </w:r>
    </w:p>
    <w:p w14:paraId="0000000D" w14:textId="77777777" w:rsidR="00E10F3C" w:rsidRDefault="00000000">
      <w:pPr>
        <w:ind w:left="1440"/>
      </w:pPr>
      <w:r>
        <w:t>There is an urgent need to ensure planned and existing renewables serve the decarbonisation of existing demand. However, there is a risk that allowing large energy users such as data centres avail of Private Wires will divert renewables in order to be deployed to supply new data centre loads. This, in turn reduces the likelihood of Ireland meeting emission targets and with consequential risk of significant EU fines estimated as high as €26bn.</w:t>
      </w:r>
    </w:p>
    <w:p w14:paraId="0000000E" w14:textId="77777777" w:rsidR="00E10F3C" w:rsidRDefault="00E10F3C">
      <w:pPr>
        <w:ind w:left="1440"/>
      </w:pPr>
    </w:p>
    <w:p w14:paraId="0000000F" w14:textId="77777777" w:rsidR="00E10F3C" w:rsidRDefault="00000000">
      <w:pPr>
        <w:numPr>
          <w:ilvl w:val="1"/>
          <w:numId w:val="4"/>
        </w:numPr>
        <w:pBdr>
          <w:top w:val="nil"/>
          <w:left w:val="nil"/>
          <w:bottom w:val="nil"/>
          <w:right w:val="nil"/>
          <w:between w:val="nil"/>
        </w:pBdr>
        <w:rPr>
          <w:b/>
          <w:bCs/>
        </w:rPr>
      </w:pPr>
      <w:r>
        <w:rPr>
          <w:b/>
          <w:bCs/>
        </w:rPr>
        <w:t xml:space="preserve">Competition between public interest and industry for renewables build out </w:t>
      </w:r>
    </w:p>
    <w:p w14:paraId="00000010" w14:textId="77777777" w:rsidR="00E10F3C" w:rsidRDefault="00E10F3C">
      <w:pPr>
        <w:pBdr>
          <w:top w:val="nil"/>
          <w:left w:val="nil"/>
          <w:bottom w:val="nil"/>
          <w:right w:val="nil"/>
          <w:between w:val="nil"/>
        </w:pBdr>
        <w:ind w:left="720"/>
        <w:rPr>
          <w:b/>
          <w:bCs/>
        </w:rPr>
      </w:pPr>
    </w:p>
    <w:p w14:paraId="00000011" w14:textId="77777777" w:rsidR="00E10F3C" w:rsidRDefault="00000000">
      <w:pPr>
        <w:numPr>
          <w:ilvl w:val="0"/>
          <w:numId w:val="7"/>
        </w:numPr>
        <w:pBdr>
          <w:top w:val="nil"/>
          <w:left w:val="nil"/>
          <w:bottom w:val="nil"/>
          <w:right w:val="nil"/>
          <w:between w:val="nil"/>
        </w:pBdr>
      </w:pPr>
      <w:r>
        <w:t xml:space="preserve">We believe that allowing the rapidly scaling data centre industry to build a private network between themselves and renewables generation, risks a corporate capture of renewables for one industry alone. We believe it may have unintended consequences in terms of driving up the cost of renewables, </w:t>
      </w:r>
      <w:hyperlink r:id="rId7">
        <w:r>
          <w:rPr>
            <w:color w:val="1155CC"/>
            <w:u w:val="single"/>
          </w:rPr>
          <w:t>as Professor Hannah Daly has noted,</w:t>
        </w:r>
      </w:hyperlink>
      <w:r>
        <w:t xml:space="preserve"> “By encouraging large corporate buyers with deep pockets to secure renewables through private contracts, the policy risks undermining the competitiveness of public renewable auctions, potentially pushing up costs for everyone else.” </w:t>
      </w:r>
      <w:r>
        <w:br/>
      </w:r>
    </w:p>
    <w:p w14:paraId="00000012" w14:textId="77777777" w:rsidR="00E10F3C" w:rsidRDefault="00E10F3C"/>
    <w:p w14:paraId="00000013" w14:textId="77777777" w:rsidR="00E10F3C" w:rsidRDefault="00000000">
      <w:pPr>
        <w:numPr>
          <w:ilvl w:val="0"/>
          <w:numId w:val="1"/>
        </w:numPr>
      </w:pPr>
      <w:r>
        <w:t xml:space="preserve">The Economic Assessment of Green Energy Park Concepts commissioned by the Department as part of their Large Energy Users Action Plan also notes that labour constraints are a risk in the further development of the sector. In light of the constraints on labour and access to renewables, we believe Private Wires legislation should seek to rule out speculative data centre connections. </w:t>
      </w:r>
    </w:p>
    <w:p w14:paraId="00000014" w14:textId="77777777" w:rsidR="00E10F3C" w:rsidRDefault="00E10F3C">
      <w:pPr>
        <w:rPr>
          <w:b/>
          <w:bCs/>
        </w:rPr>
      </w:pPr>
    </w:p>
    <w:p w14:paraId="00000015" w14:textId="77777777" w:rsidR="00E10F3C" w:rsidRDefault="00E10F3C"/>
    <w:p w14:paraId="00000016" w14:textId="77777777" w:rsidR="00E10F3C" w:rsidRDefault="00000000">
      <w:pPr>
        <w:numPr>
          <w:ilvl w:val="0"/>
          <w:numId w:val="4"/>
        </w:numPr>
        <w:rPr>
          <w:b/>
          <w:bCs/>
        </w:rPr>
      </w:pPr>
      <w:r>
        <w:rPr>
          <w:b/>
          <w:bCs/>
          <w:u w:val="single"/>
        </w:rPr>
        <w:lastRenderedPageBreak/>
        <w:t xml:space="preserve">Risks to energy affordability </w:t>
      </w:r>
    </w:p>
    <w:p w14:paraId="00000017" w14:textId="77777777" w:rsidR="00E10F3C" w:rsidRDefault="00E10F3C">
      <w:pPr>
        <w:rPr>
          <w:b/>
          <w:bCs/>
          <w:u w:val="single"/>
        </w:rPr>
      </w:pPr>
    </w:p>
    <w:p w14:paraId="00000018" w14:textId="77777777" w:rsidR="00E10F3C" w:rsidRDefault="00000000">
      <w:pPr>
        <w:ind w:left="720"/>
      </w:pPr>
      <w:r>
        <w:t xml:space="preserve">The current policy and legislation does not address how public customers will be safeguarded from cross-subsidising the private wire operator. It does not address the risk that large energy users will be relying on the public grid for back up but are not expected to pay their fair share towards its upkeep and development. </w:t>
      </w:r>
    </w:p>
    <w:p w14:paraId="00000019" w14:textId="77777777" w:rsidR="00E10F3C" w:rsidRDefault="00E10F3C"/>
    <w:p w14:paraId="0000001A" w14:textId="77777777" w:rsidR="00E10F3C" w:rsidRDefault="00000000">
      <w:pPr>
        <w:numPr>
          <w:ilvl w:val="0"/>
          <w:numId w:val="4"/>
        </w:numPr>
        <w:rPr>
          <w:b/>
          <w:bCs/>
        </w:rPr>
      </w:pPr>
      <w:r>
        <w:rPr>
          <w:b/>
          <w:bCs/>
          <w:u w:val="single"/>
        </w:rPr>
        <w:t>Risks to areas of high electricity constraint and hoarding of grid capacity</w:t>
      </w:r>
    </w:p>
    <w:p w14:paraId="0000001B" w14:textId="77777777" w:rsidR="00E10F3C" w:rsidRDefault="00E10F3C">
      <w:pPr>
        <w:rPr>
          <w:b/>
          <w:bCs/>
          <w:u w:val="single"/>
        </w:rPr>
      </w:pPr>
    </w:p>
    <w:p w14:paraId="0000001C" w14:textId="77777777" w:rsidR="00E10F3C" w:rsidRDefault="00000000">
      <w:pPr>
        <w:numPr>
          <w:ilvl w:val="0"/>
          <w:numId w:val="3"/>
        </w:numPr>
      </w:pPr>
      <w:r>
        <w:t xml:space="preserve">Private Wires has been touted by politicians as a solution to constraints on the grid. However the current policy indicates the risk of a very different scenario where the public grid would still see capacity taken up by customers availing of Private Wires: </w:t>
      </w:r>
    </w:p>
    <w:p w14:paraId="0000001D" w14:textId="77777777" w:rsidR="00E10F3C" w:rsidRDefault="00E10F3C"/>
    <w:p w14:paraId="0000001E" w14:textId="77777777" w:rsidR="00E10F3C" w:rsidRDefault="00000000">
      <w:pPr>
        <w:ind w:left="720" w:firstLine="720"/>
      </w:pPr>
      <w:r>
        <w:t>“If an electricity customer using a Private Wire chooses to keep their Grid</w:t>
      </w:r>
    </w:p>
    <w:p w14:paraId="0000001F" w14:textId="77777777" w:rsidR="00E10F3C" w:rsidRDefault="00000000">
      <w:pPr>
        <w:ind w:left="1440"/>
      </w:pPr>
      <w:r>
        <w:t xml:space="preserve">connection, the charges they will pay to the System Operators will be reduced by the reduction in the amount of electricity that flows through the connection. However, the System Operators will be required to ensure that the connection can, at any time, provide the full Maximum Import Capacity of electricity flow to the customer, and will not see their costs reduce. </w:t>
      </w:r>
      <w:r>
        <w:rPr>
          <w:b/>
          <w:bCs/>
          <w:i/>
          <w:iCs/>
        </w:rPr>
        <w:t xml:space="preserve">This means that there will be reduced network costs for the private wire operator which will be recovered from other customers and moreover, the reserved network capacity cannot be allocated to future customers meaning that extra network reinforcement will be required to meet that demand, increasing cost for network customers” </w:t>
      </w:r>
      <w:r>
        <w:t>(p.10,11 - emphasis is author’s own)</w:t>
      </w:r>
    </w:p>
    <w:p w14:paraId="00000020" w14:textId="77777777" w:rsidR="00E10F3C" w:rsidRDefault="00E10F3C">
      <w:pPr>
        <w:ind w:left="720"/>
      </w:pPr>
    </w:p>
    <w:p w14:paraId="00000021" w14:textId="77777777" w:rsidR="00E10F3C" w:rsidRDefault="00000000">
      <w:pPr>
        <w:numPr>
          <w:ilvl w:val="0"/>
          <w:numId w:val="2"/>
        </w:numPr>
      </w:pPr>
      <w:r>
        <w:t xml:space="preserve">We believe that this amounts to large energy users being able to hoard capacity on the grid while not necessarily using it. We believe this is at odds with the public interest, and risks worsening the social inequality which results from the current strain on the grid and the lack of prioritisation. </w:t>
      </w:r>
      <w:r>
        <w:br/>
      </w:r>
    </w:p>
    <w:p w14:paraId="00000022" w14:textId="77777777" w:rsidR="00E10F3C" w:rsidRDefault="00000000">
      <w:pPr>
        <w:numPr>
          <w:ilvl w:val="0"/>
          <w:numId w:val="2"/>
        </w:numPr>
      </w:pPr>
      <w:r>
        <w:t xml:space="preserve">As has been well-documented, lack of prioritisation and allowing the rapid expansion of the data centre industry has resulted in some substations </w:t>
      </w:r>
      <w:hyperlink r:id="rId8">
        <w:r>
          <w:rPr>
            <w:color w:val="1155CC"/>
            <w:u w:val="single"/>
          </w:rPr>
          <w:t>on the public grid in Dublin having their entire capacity mopped up by data centres,</w:t>
        </w:r>
      </w:hyperlink>
      <w:r>
        <w:t xml:space="preserve"> undermining other sectors, particularly housing. The CRU has noted that 50% of electricity produced in Dublin and Meath already goes to data centres. Senior officials in the Department of Climate, Energy and Environment have also flagged concern regarding the</w:t>
      </w:r>
      <w:hyperlink r:id="rId9">
        <w:r>
          <w:rPr>
            <w:color w:val="1155CC"/>
            <w:u w:val="single"/>
          </w:rPr>
          <w:t xml:space="preserve"> lack of priorisation for grid connections between the tech industry and </w:t>
        </w:r>
      </w:hyperlink>
      <w:r>
        <w:t>housing.</w:t>
      </w:r>
    </w:p>
    <w:p w14:paraId="00000023" w14:textId="77777777" w:rsidR="00E10F3C" w:rsidRDefault="00E10F3C"/>
    <w:p w14:paraId="00000024" w14:textId="77777777" w:rsidR="00E10F3C" w:rsidRDefault="00000000">
      <w:pPr>
        <w:numPr>
          <w:ilvl w:val="0"/>
          <w:numId w:val="4"/>
        </w:numPr>
        <w:rPr>
          <w:b/>
          <w:bCs/>
        </w:rPr>
      </w:pPr>
      <w:r>
        <w:rPr>
          <w:b/>
          <w:bCs/>
        </w:rPr>
        <w:t>Water stress and environmental impact</w:t>
      </w:r>
    </w:p>
    <w:p w14:paraId="00000025" w14:textId="77777777" w:rsidR="00E10F3C" w:rsidRDefault="00E10F3C">
      <w:pPr>
        <w:rPr>
          <w:b/>
          <w:bCs/>
        </w:rPr>
      </w:pPr>
    </w:p>
    <w:p w14:paraId="00000026" w14:textId="77777777" w:rsidR="00E10F3C" w:rsidRDefault="00000000">
      <w:pPr>
        <w:numPr>
          <w:ilvl w:val="0"/>
          <w:numId w:val="5"/>
        </w:numPr>
      </w:pPr>
      <w:r>
        <w:t xml:space="preserve">Any policy which may result in the buildout of large energy users such as data centres should take into account the significant volume of water required by this industry. Just one hyperscale data centre in Ireland </w:t>
      </w:r>
      <w:hyperlink r:id="rId10">
        <w:r>
          <w:rPr>
            <w:color w:val="1155CC"/>
            <w:u w:val="single"/>
          </w:rPr>
          <w:t>can require 18,000 litres of water a day</w:t>
        </w:r>
      </w:hyperlink>
      <w:r>
        <w:t xml:space="preserve"> </w:t>
      </w:r>
      <w:hyperlink r:id="rId11">
        <w:r>
          <w:rPr>
            <w:color w:val="1155CC"/>
            <w:u w:val="single"/>
          </w:rPr>
          <w:t>(p.62 of Herbata Architectural Statement)</w:t>
        </w:r>
      </w:hyperlink>
      <w:r>
        <w:t xml:space="preserve">. Recently the UN </w:t>
      </w:r>
      <w:hyperlink r:id="rId12">
        <w:r>
          <w:rPr>
            <w:color w:val="1155CC"/>
            <w:u w:val="single"/>
          </w:rPr>
          <w:t>Special Rapporteur on the human right to safe drinking water and sanitation recommended that states</w:t>
        </w:r>
      </w:hyperlink>
      <w:r>
        <w:t xml:space="preserve"> should “promote a moratorium on </w:t>
      </w:r>
      <w:r>
        <w:lastRenderedPageBreak/>
        <w:t>the development of data centres and provide clear information on their water and energy consumption and the risks that they pose to climate change, the sustainability of aquatic ecosystems, the human rights of impoverished populations and the survival of vulnerable productive sectors.”</w:t>
      </w:r>
      <w:hyperlink r:id="rId13">
        <w:r>
          <w:rPr>
            <w:color w:val="1155CC"/>
            <w:u w:val="single"/>
          </w:rPr>
          <w:t xml:space="preserve"> (p.18 of UN report)</w:t>
        </w:r>
      </w:hyperlink>
    </w:p>
    <w:p w14:paraId="00000027" w14:textId="77777777" w:rsidR="00E10F3C" w:rsidRDefault="00000000">
      <w:pPr>
        <w:pStyle w:val="Ceannteideal3"/>
      </w:pPr>
      <w:bookmarkStart w:id="1" w:name="_te2oyxr4ill5" w:colFirst="0" w:colLast="0"/>
      <w:bookmarkEnd w:id="1"/>
      <w:r>
        <w:t>Recommendations</w:t>
      </w:r>
    </w:p>
    <w:p w14:paraId="00000028" w14:textId="77777777" w:rsidR="00E10F3C" w:rsidRDefault="00E10F3C">
      <w:pPr>
        <w:rPr>
          <w:b/>
          <w:bCs/>
          <w:u w:val="single"/>
        </w:rPr>
      </w:pPr>
    </w:p>
    <w:p w14:paraId="00000029" w14:textId="77777777" w:rsidR="00E10F3C" w:rsidRDefault="00000000">
      <w:r>
        <w:t xml:space="preserve">For the reasons outlined above, we believe that progressing with Private Wires legislation in its current form would be contrary to the public interest, and would risk deepening inequality and derailing national and European climate goals. </w:t>
      </w:r>
    </w:p>
    <w:p w14:paraId="0000002A" w14:textId="77777777" w:rsidR="00E10F3C" w:rsidRDefault="00E10F3C"/>
    <w:p w14:paraId="0000002B" w14:textId="77777777" w:rsidR="00E10F3C" w:rsidRDefault="00000000">
      <w:r>
        <w:t xml:space="preserve">We recommend that fossil fuel generation is ruled out of any private wires policy and a more robust analysis of the impact of Private Wires legislation on carbon budgets and climate commitments is carried out. Climate obligations must be the central to any Private Wires policy in order to safeguard environmental and human health, and ensure resources are not diverted away from a fair energy transition. </w:t>
      </w:r>
    </w:p>
    <w:p w14:paraId="0000002C" w14:textId="77777777" w:rsidR="00E10F3C" w:rsidRDefault="00E10F3C"/>
    <w:p w14:paraId="0000002D" w14:textId="77777777" w:rsidR="00E10F3C" w:rsidRDefault="00000000">
      <w:r>
        <w:t xml:space="preserve">We recommend that in order to safeguard public investment in the grid, and to prevent hoarding of capacity, that a framework for prioritisation of grid connections based on social criteria be developed, in order to ensure that the public grid is able to accommodate the growth of vital sectors including housing targets and decarbonisation of existing users. This would ensure that connections are not simply granted on a first-come, first-serve basis. </w:t>
      </w:r>
    </w:p>
    <w:p w14:paraId="0000002E" w14:textId="77777777" w:rsidR="00E10F3C" w:rsidRDefault="00E10F3C"/>
    <w:p w14:paraId="0000002F" w14:textId="77777777" w:rsidR="00E10F3C" w:rsidRDefault="00000000">
      <w:r>
        <w:t xml:space="preserve">We urge the Climate Committee to consider promoting a moratorium on new data centre development, on the basis that the current scale of the industry is undermining legally binding climate targets, derailing decarbonisation efforts, and diverting public resources while raising prices for consumers. </w:t>
      </w:r>
    </w:p>
    <w:p w14:paraId="00000030" w14:textId="77777777" w:rsidR="00E10F3C" w:rsidRDefault="00E10F3C">
      <w:pPr>
        <w:rPr>
          <w:b/>
          <w:bCs/>
          <w:u w:val="single"/>
        </w:rPr>
      </w:pPr>
    </w:p>
    <w:sectPr w:rsidR="00E10F3C">
      <w:headerReference w:type="even" r:id="rId14"/>
      <w:headerReference w:type="default" r:id="rId15"/>
      <w:footerReference w:type="even" r:id="rId16"/>
      <w:footerReference w:type="default" r:id="rId17"/>
      <w:headerReference w:type="first" r:id="rId18"/>
      <w:footerReference w:type="first" r:id="rId19"/>
      <w:pgSz w:w="12240" w:h="15840"/>
      <w:pgMar w:top="1440" w:right="1440" w:bottom="1133" w:left="1133"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4C5E6F" w14:textId="77777777" w:rsidR="004547F9" w:rsidRDefault="004547F9">
      <w:pPr>
        <w:spacing w:line="240" w:lineRule="auto"/>
      </w:pPr>
      <w:r>
        <w:separator/>
      </w:r>
    </w:p>
  </w:endnote>
  <w:endnote w:type="continuationSeparator" w:id="0">
    <w:p w14:paraId="2EC5C64E" w14:textId="77777777" w:rsidR="004547F9" w:rsidRDefault="004547F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62044AF6-2872-4A6B-84A6-590EF3F82062}"/>
  </w:font>
  <w:font w:name="Cambria">
    <w:panose1 w:val="02040503050406030204"/>
    <w:charset w:val="00"/>
    <w:family w:val="roman"/>
    <w:pitch w:val="variable"/>
    <w:sig w:usb0="E00006FF" w:usb1="420024FF" w:usb2="02000000" w:usb3="00000000" w:csb0="0000019F" w:csb1="00000000"/>
    <w:embedRegular r:id="rId2" w:fontKey="{F5F415F5-3C5B-4A2A-9DF6-7E8AAE55CA6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8F6573" w14:textId="77777777" w:rsidR="007122CA" w:rsidRDefault="007122CA">
    <w:pPr>
      <w:pStyle w:val="Buntsc"/>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33" w14:textId="6AEF59E6" w:rsidR="00E10F3C" w:rsidRDefault="00000000">
    <w:pPr>
      <w:jc w:val="right"/>
    </w:pPr>
    <w:r>
      <w:fldChar w:fldCharType="begin"/>
    </w:r>
    <w:r>
      <w:instrText>PAGE</w:instrText>
    </w:r>
    <w:r>
      <w:fldChar w:fldCharType="separate"/>
    </w:r>
    <w:r w:rsidR="007122CA">
      <w:rPr>
        <w:noProof/>
      </w:rPr>
      <w:t>1</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3A6C87" w14:textId="77777777" w:rsidR="007122CA" w:rsidRDefault="007122CA">
    <w:pPr>
      <w:pStyle w:val="Bunts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F3FA23" w14:textId="77777777" w:rsidR="004547F9" w:rsidRDefault="004547F9">
      <w:pPr>
        <w:spacing w:line="240" w:lineRule="auto"/>
      </w:pPr>
      <w:r>
        <w:separator/>
      </w:r>
    </w:p>
  </w:footnote>
  <w:footnote w:type="continuationSeparator" w:id="0">
    <w:p w14:paraId="41C54E03" w14:textId="77777777" w:rsidR="004547F9" w:rsidRDefault="004547F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F4C269" w14:textId="77777777" w:rsidR="007122CA" w:rsidRDefault="007122CA">
    <w:pPr>
      <w:pStyle w:val="Ceanntsc"/>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31" w14:textId="1D3A3BF5" w:rsidR="00E10F3C" w:rsidRDefault="00000000">
    <w:pPr>
      <w:pBdr>
        <w:top w:val="nil"/>
        <w:left w:val="nil"/>
        <w:bottom w:val="nil"/>
        <w:right w:val="nil"/>
        <w:between w:val="nil"/>
      </w:pBdr>
      <w:tabs>
        <w:tab w:val="right" w:pos="9212"/>
      </w:tabs>
      <w:ind w:right="5"/>
      <w:rPr>
        <w:i/>
        <w:iCs/>
      </w:rPr>
    </w:pPr>
    <w:r>
      <w:rPr>
        <w:b/>
        <w:bCs/>
        <w:i/>
        <w:iCs/>
      </w:rPr>
      <w:t>Not Here Not Anywhere</w:t>
    </w:r>
    <w:r>
      <w:rPr>
        <w:i/>
        <w:iCs/>
      </w:rPr>
      <w:t xml:space="preserve"> Submission </w:t>
    </w:r>
    <w:r w:rsidR="007122CA">
      <w:rPr>
        <w:i/>
        <w:iCs/>
      </w:rPr>
      <w:t>for</w:t>
    </w:r>
    <w:r>
      <w:rPr>
        <w:i/>
        <w:iCs/>
      </w:rPr>
      <w:t xml:space="preserve"> PLS of Private Wires Bill 2025 </w:t>
    </w:r>
    <w:r>
      <w:rPr>
        <w:i/>
        <w:iCs/>
      </w:rPr>
      <w:tab/>
      <w:t>6/2/2026</w:t>
    </w:r>
  </w:p>
  <w:p w14:paraId="00000032" w14:textId="77777777" w:rsidR="00E10F3C" w:rsidRDefault="00E10F3C"/>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1E9DB2" w14:textId="77777777" w:rsidR="007122CA" w:rsidRDefault="007122CA">
    <w:pPr>
      <w:pStyle w:val="Ceanntsc"/>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CD0866"/>
    <w:multiLevelType w:val="multilevel"/>
    <w:tmpl w:val="E8CC5860"/>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 w15:restartNumberingAfterBreak="0">
    <w:nsid w:val="2E006DE6"/>
    <w:multiLevelType w:val="multilevel"/>
    <w:tmpl w:val="B598F8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42A5C34"/>
    <w:multiLevelType w:val="multilevel"/>
    <w:tmpl w:val="10EA63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B7C27C3"/>
    <w:multiLevelType w:val="multilevel"/>
    <w:tmpl w:val="1870BE7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641556B4"/>
    <w:multiLevelType w:val="multilevel"/>
    <w:tmpl w:val="15ACBE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72306F86"/>
    <w:multiLevelType w:val="multilevel"/>
    <w:tmpl w:val="58AE8324"/>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6" w15:restartNumberingAfterBreak="0">
    <w:nsid w:val="744F4F0A"/>
    <w:multiLevelType w:val="multilevel"/>
    <w:tmpl w:val="D4D815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682511113">
    <w:abstractNumId w:val="0"/>
  </w:num>
  <w:num w:numId="2" w16cid:durableId="159125601">
    <w:abstractNumId w:val="1"/>
  </w:num>
  <w:num w:numId="3" w16cid:durableId="441271471">
    <w:abstractNumId w:val="4"/>
  </w:num>
  <w:num w:numId="4" w16cid:durableId="301497755">
    <w:abstractNumId w:val="3"/>
  </w:num>
  <w:num w:numId="5" w16cid:durableId="1021321891">
    <w:abstractNumId w:val="2"/>
  </w:num>
  <w:num w:numId="6" w16cid:durableId="795369241">
    <w:abstractNumId w:val="6"/>
  </w:num>
  <w:num w:numId="7" w16cid:durableId="112192536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0F3C"/>
    <w:rsid w:val="004547F9"/>
    <w:rsid w:val="007122CA"/>
    <w:rsid w:val="008C7C84"/>
    <w:rsid w:val="00E10F3C"/>
  </w:rsids>
  <m:mathPr>
    <m:mathFont m:val="Cambria Math"/>
    <m:brkBin m:val="before"/>
    <m:brkBinSub m:val="--"/>
    <m:smallFrac m:val="0"/>
    <m:dispDef/>
    <m:lMargin m:val="0"/>
    <m:rMargin m:val="0"/>
    <m:defJc m:val="centerGroup"/>
    <m:wrapIndent m:val="1440"/>
    <m:intLim m:val="subSup"/>
    <m:naryLim m:val="undOvr"/>
  </m:mathPr>
  <w:themeFontLang w:val="ga-IE"/>
  <w:clrSchemeMapping w:bg1="light1" w:t1="dark1" w:bg2="light2" w:t2="dark2" w:accent1="accent1" w:accent2="accent2" w:accent3="accent3" w:accent4="accent4" w:accent5="accent5" w:accent6="accent6" w:hyperlink="hyperlink" w:followedHyperlink="followedHyperlink"/>
  <w:decimalSymbol w:val="."/>
  <w:listSeparator w:val=","/>
  <w14:docId w14:val="3162681C"/>
  <w15:docId w15:val="{3F532127-A100-4009-B477-7A6C99A620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ga-IE"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Gnth">
    <w:name w:val="Normal"/>
    <w:qFormat/>
  </w:style>
  <w:style w:type="paragraph" w:styleId="Teideal1">
    <w:name w:val="heading 1"/>
    <w:basedOn w:val="Gnth"/>
    <w:next w:val="Gnth"/>
    <w:uiPriority w:val="9"/>
    <w:qFormat/>
    <w:pPr>
      <w:keepNext/>
      <w:keepLines/>
      <w:spacing w:before="400" w:after="120"/>
      <w:outlineLvl w:val="0"/>
    </w:pPr>
    <w:rPr>
      <w:sz w:val="40"/>
      <w:szCs w:val="40"/>
    </w:rPr>
  </w:style>
  <w:style w:type="paragraph" w:styleId="Ceannteideal2">
    <w:name w:val="heading 2"/>
    <w:basedOn w:val="Gnth"/>
    <w:next w:val="Gnth"/>
    <w:uiPriority w:val="9"/>
    <w:unhideWhenUsed/>
    <w:qFormat/>
    <w:pPr>
      <w:keepNext/>
      <w:keepLines/>
      <w:spacing w:before="360" w:after="120"/>
      <w:outlineLvl w:val="1"/>
    </w:pPr>
    <w:rPr>
      <w:sz w:val="32"/>
      <w:szCs w:val="32"/>
    </w:rPr>
  </w:style>
  <w:style w:type="paragraph" w:styleId="Ceannteideal3">
    <w:name w:val="heading 3"/>
    <w:basedOn w:val="Gnth"/>
    <w:next w:val="Gnth"/>
    <w:uiPriority w:val="9"/>
    <w:unhideWhenUsed/>
    <w:qFormat/>
    <w:pPr>
      <w:keepNext/>
      <w:keepLines/>
      <w:spacing w:before="320" w:after="80"/>
      <w:outlineLvl w:val="2"/>
    </w:pPr>
    <w:rPr>
      <w:color w:val="434343"/>
      <w:sz w:val="28"/>
      <w:szCs w:val="28"/>
    </w:rPr>
  </w:style>
  <w:style w:type="paragraph" w:styleId="Ceannteideal4">
    <w:name w:val="heading 4"/>
    <w:basedOn w:val="Gnth"/>
    <w:next w:val="Gnth"/>
    <w:uiPriority w:val="9"/>
    <w:semiHidden/>
    <w:unhideWhenUsed/>
    <w:qFormat/>
    <w:pPr>
      <w:keepNext/>
      <w:keepLines/>
      <w:spacing w:before="280" w:after="80"/>
      <w:outlineLvl w:val="3"/>
    </w:pPr>
    <w:rPr>
      <w:color w:val="666666"/>
      <w:sz w:val="24"/>
      <w:szCs w:val="24"/>
    </w:rPr>
  </w:style>
  <w:style w:type="paragraph" w:styleId="Ceannteideal5">
    <w:name w:val="heading 5"/>
    <w:basedOn w:val="Gnth"/>
    <w:next w:val="Gnth"/>
    <w:uiPriority w:val="9"/>
    <w:semiHidden/>
    <w:unhideWhenUsed/>
    <w:qFormat/>
    <w:pPr>
      <w:keepNext/>
      <w:keepLines/>
      <w:spacing w:before="240" w:after="80"/>
      <w:outlineLvl w:val="4"/>
    </w:pPr>
    <w:rPr>
      <w:color w:val="666666"/>
    </w:rPr>
  </w:style>
  <w:style w:type="paragraph" w:styleId="Ceannteideal6">
    <w:name w:val="heading 6"/>
    <w:basedOn w:val="Gnth"/>
    <w:next w:val="Gnth"/>
    <w:uiPriority w:val="9"/>
    <w:semiHidden/>
    <w:unhideWhenUsed/>
    <w:qFormat/>
    <w:pPr>
      <w:keepNext/>
      <w:keepLines/>
      <w:spacing w:before="240" w:after="80"/>
      <w:outlineLvl w:val="5"/>
    </w:pPr>
    <w:rPr>
      <w:i/>
      <w:iCs/>
      <w:color w:val="666666"/>
    </w:rPr>
  </w:style>
  <w:style w:type="character" w:default="1" w:styleId="Clfhoireannramhshocraithenan-alt">
    <w:name w:val="Default Paragraph Font"/>
    <w:uiPriority w:val="1"/>
    <w:semiHidden/>
    <w:unhideWhenUsed/>
  </w:style>
  <w:style w:type="table" w:default="1" w:styleId="Tblanormlta">
    <w:name w:val="Normal Table"/>
    <w:uiPriority w:val="99"/>
    <w:semiHidden/>
    <w:unhideWhenUsed/>
    <w:tblPr>
      <w:tblInd w:w="0" w:type="dxa"/>
      <w:tblCellMar>
        <w:top w:w="0" w:type="dxa"/>
        <w:left w:w="108" w:type="dxa"/>
        <w:bottom w:w="0" w:type="dxa"/>
        <w:right w:w="108" w:type="dxa"/>
      </w:tblCellMar>
    </w:tblPr>
  </w:style>
  <w:style w:type="numbering" w:default="1" w:styleId="Ganlio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eideal">
    <w:name w:val="Title"/>
    <w:basedOn w:val="Gnth"/>
    <w:next w:val="Gnth"/>
    <w:uiPriority w:val="10"/>
    <w:qFormat/>
    <w:pPr>
      <w:keepNext/>
      <w:keepLines/>
      <w:spacing w:after="60"/>
    </w:pPr>
    <w:rPr>
      <w:sz w:val="52"/>
      <w:szCs w:val="52"/>
    </w:rPr>
  </w:style>
  <w:style w:type="paragraph" w:styleId="Fotheideal">
    <w:name w:val="Subtitle"/>
    <w:basedOn w:val="Gnth"/>
    <w:next w:val="Gnth"/>
    <w:uiPriority w:val="11"/>
    <w:qFormat/>
    <w:pPr>
      <w:keepNext/>
      <w:keepLines/>
      <w:spacing w:after="320"/>
    </w:pPr>
    <w:rPr>
      <w:color w:val="666666"/>
      <w:sz w:val="30"/>
      <w:szCs w:val="30"/>
    </w:rPr>
  </w:style>
  <w:style w:type="paragraph" w:styleId="Ceanntsc">
    <w:name w:val="header"/>
    <w:basedOn w:val="Gnth"/>
    <w:link w:val="CeanntscCar"/>
    <w:uiPriority w:val="99"/>
    <w:unhideWhenUsed/>
    <w:rsid w:val="007122CA"/>
    <w:pPr>
      <w:tabs>
        <w:tab w:val="center" w:pos="4513"/>
        <w:tab w:val="right" w:pos="9026"/>
      </w:tabs>
      <w:spacing w:line="240" w:lineRule="auto"/>
    </w:pPr>
  </w:style>
  <w:style w:type="character" w:customStyle="1" w:styleId="CeanntscCar">
    <w:name w:val="Ceanntásc Car"/>
    <w:basedOn w:val="Clfhoireannramhshocraithenan-alt"/>
    <w:link w:val="Ceanntsc"/>
    <w:uiPriority w:val="99"/>
    <w:rsid w:val="007122CA"/>
  </w:style>
  <w:style w:type="paragraph" w:styleId="Buntsc">
    <w:name w:val="footer"/>
    <w:basedOn w:val="Gnth"/>
    <w:link w:val="BuntscCar"/>
    <w:uiPriority w:val="99"/>
    <w:unhideWhenUsed/>
    <w:rsid w:val="007122CA"/>
    <w:pPr>
      <w:tabs>
        <w:tab w:val="center" w:pos="4513"/>
        <w:tab w:val="right" w:pos="9026"/>
      </w:tabs>
      <w:spacing w:line="240" w:lineRule="auto"/>
    </w:pPr>
  </w:style>
  <w:style w:type="character" w:customStyle="1" w:styleId="BuntscCar">
    <w:name w:val="Buntásc Car"/>
    <w:basedOn w:val="Clfhoireannramhshocraithenan-alt"/>
    <w:link w:val="Buntsc"/>
    <w:uiPriority w:val="99"/>
    <w:rsid w:val="007122C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irishtimes.com/environment/2026/01/15/single-data-centre-comsumes-10-times-electricity-of-nearby-pharma-plant-employing-2000/" TargetMode="External"/><Relationship Id="rId13" Type="http://schemas.openxmlformats.org/officeDocument/2006/relationships/hyperlink" Target="https://docs.un.org/en/A/HRC/60/30" TargetMode="External"/><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hannahdaly.ie/2025-12-12-CRU-data-centre-policy/" TargetMode="External"/><Relationship Id="rId12" Type="http://schemas.openxmlformats.org/officeDocument/2006/relationships/hyperlink" Target="https://www.ohchr.org/en/documents/thematic-reports/ahrc6030-water-and-energy-nexus-report-special-rapporteur-human-rights"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rive.google.com/file/d/1IQEeI7XnMkn5TtmL5OH_Xk7nbm5Ju4LQ/view?usp=sharing" TargetMode="External"/><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hyperlink" Target="https://drive.google.com/file/d/1IQEeI7XnMkn5TtmL5OH_Xk7nbm5Ju4LQ/view?usp=sharing" TargetMode="External"/><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hyperlink" Target="https://www.independent.ie/irish-news/power-shortages-mean-ireland-will-have-to-choose-between-ai-and-housing-says-senior-government-official/a399947800.html" TargetMode="Externa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1149</Words>
  <Characters>6553</Characters>
  <Application>Microsoft Office Word</Application>
  <DocSecurity>0</DocSecurity>
  <Lines>54</Lines>
  <Paragraphs>15</Paragraphs>
  <ScaleCrop>false</ScaleCrop>
  <Company/>
  <LinksUpToDate>false</LinksUpToDate>
  <CharactersWithSpaces>7687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Angela Deegan</cp:lastModifiedBy>
  <cp:revision>2</cp:revision>
  <dcterms:created xsi:type="dcterms:W3CDTF">2026-02-06T10:37:00Z</dcterms:created>
  <dcterms:modified xsi:type="dcterms:W3CDTF">2026-02-06T10:37:00Z</dcterms:modified>
</cp:coreProperties>
</file>